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78114" w14:textId="77777777" w:rsidR="009B2BF6" w:rsidRPr="009B2BF6" w:rsidRDefault="009B2BF6" w:rsidP="009B2BF6">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9B2BF6">
        <w:rPr>
          <w:rFonts w:ascii="Lato" w:eastAsia="Times New Roman" w:hAnsi="Lato" w:cs="Times New Roman"/>
          <w:color w:val="CC3300"/>
          <w:kern w:val="36"/>
          <w:sz w:val="36"/>
          <w:szCs w:val="36"/>
          <w:lang w:eastAsia="fr-BE"/>
          <w14:ligatures w14:val="none"/>
        </w:rPr>
        <w:t xml:space="preserve">Le cours du cuivre tiré à hue et </w:t>
      </w:r>
      <w:proofErr w:type="spellStart"/>
      <w:r w:rsidRPr="009B2BF6">
        <w:rPr>
          <w:rFonts w:ascii="Lato" w:eastAsia="Times New Roman" w:hAnsi="Lato" w:cs="Times New Roman"/>
          <w:color w:val="CC3300"/>
          <w:kern w:val="36"/>
          <w:sz w:val="36"/>
          <w:szCs w:val="36"/>
          <w:lang w:eastAsia="fr-BE"/>
          <w14:ligatures w14:val="none"/>
        </w:rPr>
        <w:t>a</w:t>
      </w:r>
      <w:proofErr w:type="spellEnd"/>
      <w:r w:rsidRPr="009B2BF6">
        <w:rPr>
          <w:rFonts w:ascii="Lato" w:eastAsia="Times New Roman" w:hAnsi="Lato" w:cs="Times New Roman"/>
          <w:color w:val="CC3300"/>
          <w:kern w:val="36"/>
          <w:sz w:val="36"/>
          <w:szCs w:val="36"/>
          <w:lang w:eastAsia="fr-BE"/>
          <w14:ligatures w14:val="none"/>
        </w:rPr>
        <w:t xml:space="preserve"> dia sur le LME</w:t>
      </w:r>
    </w:p>
    <w:p w14:paraId="22D8C474" w14:textId="77777777" w:rsidR="009B2BF6" w:rsidRDefault="009B2BF6" w:rsidP="009B2BF6">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63E3D321" w14:textId="2B7E2EDE" w:rsidR="009B2BF6" w:rsidRPr="009B2BF6" w:rsidRDefault="009B2BF6" w:rsidP="009B2BF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B2BF6">
        <w:rPr>
          <w:rFonts w:ascii="Lato" w:eastAsia="Times New Roman" w:hAnsi="Lato" w:cs="Times New Roman"/>
          <w:color w:val="000000"/>
          <w:kern w:val="0"/>
          <w:sz w:val="23"/>
          <w:szCs w:val="23"/>
          <w:lang w:eastAsia="fr-BE"/>
          <w14:ligatures w14:val="none"/>
        </w:rPr>
        <w:t>Le </w:t>
      </w:r>
      <w:r w:rsidRPr="009B2BF6">
        <w:rPr>
          <w:rFonts w:ascii="Lato" w:eastAsia="Times New Roman" w:hAnsi="Lato" w:cs="Times New Roman"/>
          <w:color w:val="000000"/>
          <w:kern w:val="0"/>
          <w:sz w:val="23"/>
          <w:szCs w:val="23"/>
          <w:u w:val="single"/>
          <w:lang w:eastAsia="fr-BE"/>
          <w14:ligatures w14:val="none"/>
        </w:rPr>
        <w:t>cuivre</w:t>
      </w:r>
      <w:r w:rsidRPr="009B2BF6">
        <w:rPr>
          <w:rFonts w:ascii="Lato" w:eastAsia="Times New Roman" w:hAnsi="Lato" w:cs="Times New Roman"/>
          <w:color w:val="000000"/>
          <w:kern w:val="0"/>
          <w:sz w:val="23"/>
          <w:szCs w:val="23"/>
          <w:lang w:eastAsia="fr-BE"/>
          <w14:ligatures w14:val="none"/>
        </w:rPr>
        <w:t> se replie à l’issue de la matinée : il cède 1,5% de sa valeur à 8.482 $/t, et ce alors qu’il semblait ragaillardi par le renforcement du dollar qui, lui aussi, à changer de direction, avant la publication cet après-midi des chiffres de l’emploi américain pour le mois de juillet. « </w:t>
      </w:r>
      <w:r w:rsidRPr="009B2BF6">
        <w:rPr>
          <w:rFonts w:ascii="Lato" w:eastAsia="Times New Roman" w:hAnsi="Lato" w:cs="Times New Roman"/>
          <w:i/>
          <w:iCs/>
          <w:color w:val="000000"/>
          <w:kern w:val="0"/>
          <w:sz w:val="23"/>
          <w:szCs w:val="23"/>
          <w:lang w:eastAsia="fr-BE"/>
          <w14:ligatures w14:val="none"/>
        </w:rPr>
        <w:t>Certains haussiers parient actuellement sur le dollar, une valeur sure, au détriment des matières premières considérées comme actifs à risque </w:t>
      </w:r>
      <w:r w:rsidRPr="009B2BF6">
        <w:rPr>
          <w:rFonts w:ascii="Lato" w:eastAsia="Times New Roman" w:hAnsi="Lato" w:cs="Times New Roman"/>
          <w:color w:val="000000"/>
          <w:kern w:val="0"/>
          <w:sz w:val="23"/>
          <w:szCs w:val="23"/>
          <w:lang w:eastAsia="fr-BE"/>
          <w14:ligatures w14:val="none"/>
        </w:rPr>
        <w:t xml:space="preserve">», explique Naeem Aslam, directeur des investissements de </w:t>
      </w:r>
      <w:proofErr w:type="spellStart"/>
      <w:r w:rsidRPr="009B2BF6">
        <w:rPr>
          <w:rFonts w:ascii="Lato" w:eastAsia="Times New Roman" w:hAnsi="Lato" w:cs="Times New Roman"/>
          <w:color w:val="000000"/>
          <w:kern w:val="0"/>
          <w:sz w:val="23"/>
          <w:szCs w:val="23"/>
          <w:lang w:eastAsia="fr-BE"/>
          <w14:ligatures w14:val="none"/>
        </w:rPr>
        <w:t>Zaye</w:t>
      </w:r>
      <w:proofErr w:type="spellEnd"/>
      <w:r w:rsidRPr="009B2BF6">
        <w:rPr>
          <w:rFonts w:ascii="Lato" w:eastAsia="Times New Roman" w:hAnsi="Lato" w:cs="Times New Roman"/>
          <w:color w:val="000000"/>
          <w:kern w:val="0"/>
          <w:sz w:val="23"/>
          <w:szCs w:val="23"/>
          <w:lang w:eastAsia="fr-BE"/>
          <w14:ligatures w14:val="none"/>
        </w:rPr>
        <w:t xml:space="preserve"> Capital </w:t>
      </w:r>
      <w:proofErr w:type="spellStart"/>
      <w:r w:rsidRPr="009B2BF6">
        <w:rPr>
          <w:rFonts w:ascii="Lato" w:eastAsia="Times New Roman" w:hAnsi="Lato" w:cs="Times New Roman"/>
          <w:color w:val="000000"/>
          <w:kern w:val="0"/>
          <w:sz w:val="23"/>
          <w:szCs w:val="23"/>
          <w:lang w:eastAsia="fr-BE"/>
          <w14:ligatures w14:val="none"/>
        </w:rPr>
        <w:t>Markets</w:t>
      </w:r>
      <w:proofErr w:type="spellEnd"/>
      <w:r w:rsidRPr="009B2BF6">
        <w:rPr>
          <w:rFonts w:ascii="Lato" w:eastAsia="Times New Roman" w:hAnsi="Lato" w:cs="Times New Roman"/>
          <w:color w:val="000000"/>
          <w:kern w:val="0"/>
          <w:sz w:val="23"/>
          <w:szCs w:val="23"/>
          <w:lang w:eastAsia="fr-BE"/>
          <w14:ligatures w14:val="none"/>
        </w:rPr>
        <w:t>. « </w:t>
      </w:r>
      <w:r w:rsidRPr="009B2BF6">
        <w:rPr>
          <w:rFonts w:ascii="Lato" w:eastAsia="Times New Roman" w:hAnsi="Lato" w:cs="Times New Roman"/>
          <w:i/>
          <w:iCs/>
          <w:color w:val="000000"/>
          <w:kern w:val="0"/>
          <w:sz w:val="23"/>
          <w:szCs w:val="23"/>
          <w:lang w:eastAsia="fr-BE"/>
          <w14:ligatures w14:val="none"/>
        </w:rPr>
        <w:t>Du côté du la Chine, les indices PMI sont contradictoires, ce qui exerce, d’autre part, une pression sur les cours des métaux industriels</w:t>
      </w:r>
      <w:r w:rsidRPr="009B2BF6">
        <w:rPr>
          <w:rFonts w:ascii="Lato" w:eastAsia="Times New Roman" w:hAnsi="Lato" w:cs="Times New Roman"/>
          <w:color w:val="000000"/>
          <w:kern w:val="0"/>
          <w:sz w:val="23"/>
          <w:szCs w:val="23"/>
          <w:lang w:eastAsia="fr-BE"/>
          <w14:ligatures w14:val="none"/>
        </w:rPr>
        <w:t xml:space="preserve"> », poursuit l’investisseur. L’indice PMI de </w:t>
      </w:r>
      <w:proofErr w:type="spellStart"/>
      <w:r w:rsidRPr="009B2BF6">
        <w:rPr>
          <w:rFonts w:ascii="Lato" w:eastAsia="Times New Roman" w:hAnsi="Lato" w:cs="Times New Roman"/>
          <w:color w:val="000000"/>
          <w:kern w:val="0"/>
          <w:sz w:val="23"/>
          <w:szCs w:val="23"/>
          <w:lang w:eastAsia="fr-BE"/>
          <w14:ligatures w14:val="none"/>
        </w:rPr>
        <w:t>Caixin</w:t>
      </w:r>
      <w:proofErr w:type="spellEnd"/>
      <w:r w:rsidRPr="009B2BF6">
        <w:rPr>
          <w:rFonts w:ascii="Lato" w:eastAsia="Times New Roman" w:hAnsi="Lato" w:cs="Times New Roman"/>
          <w:color w:val="000000"/>
          <w:kern w:val="0"/>
          <w:sz w:val="23"/>
          <w:szCs w:val="23"/>
          <w:lang w:eastAsia="fr-BE"/>
          <w14:ligatures w14:val="none"/>
        </w:rPr>
        <w:t>/S&amp;P Global a reculé à 49,2 points en juillet, contre 50,2 en juin et bien en deçà de la prévision de 50,3. L’activité chinoise se contracte ainsi pour la première fois en 6 mois. La Chine devrait déployer un arsenal de mesures pour soutenir son économie, en particulier le secteur immobilier et les infrastructures du pays. Mais pour l’heure, tout cela reste floue et plonge le marché dans un désarrois.</w:t>
      </w:r>
    </w:p>
    <w:p w14:paraId="36278676" w14:textId="77777777" w:rsidR="009B2BF6" w:rsidRPr="009B2BF6" w:rsidRDefault="009B2BF6" w:rsidP="009B2BF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B2BF6">
        <w:rPr>
          <w:rFonts w:ascii="Lato" w:eastAsia="Times New Roman" w:hAnsi="Lato" w:cs="Times New Roman"/>
          <w:color w:val="000000"/>
          <w:kern w:val="0"/>
          <w:sz w:val="23"/>
          <w:szCs w:val="23"/>
          <w:lang w:eastAsia="fr-BE"/>
          <w14:ligatures w14:val="none"/>
        </w:rPr>
        <w:t>Les autres métaux s’inscrivent dans le sillage du cuivre : l’</w:t>
      </w:r>
      <w:r w:rsidRPr="009B2BF6">
        <w:rPr>
          <w:rFonts w:ascii="Lato" w:eastAsia="Times New Roman" w:hAnsi="Lato" w:cs="Times New Roman"/>
          <w:color w:val="000000"/>
          <w:kern w:val="0"/>
          <w:sz w:val="23"/>
          <w:szCs w:val="23"/>
          <w:u w:val="single"/>
          <w:lang w:eastAsia="fr-BE"/>
          <w14:ligatures w14:val="none"/>
        </w:rPr>
        <w:t>aluminium</w:t>
      </w:r>
      <w:r w:rsidRPr="009B2BF6">
        <w:rPr>
          <w:rFonts w:ascii="Lato" w:eastAsia="Times New Roman" w:hAnsi="Lato" w:cs="Times New Roman"/>
          <w:color w:val="000000"/>
          <w:kern w:val="0"/>
          <w:sz w:val="23"/>
          <w:szCs w:val="23"/>
          <w:lang w:eastAsia="fr-BE"/>
          <w14:ligatures w14:val="none"/>
        </w:rPr>
        <w:t> cède 0,9% à 2.210 $/t, le </w:t>
      </w:r>
      <w:r w:rsidRPr="009B2BF6">
        <w:rPr>
          <w:rFonts w:ascii="Lato" w:eastAsia="Times New Roman" w:hAnsi="Lato" w:cs="Times New Roman"/>
          <w:color w:val="000000"/>
          <w:kern w:val="0"/>
          <w:sz w:val="23"/>
          <w:szCs w:val="23"/>
          <w:u w:val="single"/>
          <w:lang w:eastAsia="fr-BE"/>
          <w14:ligatures w14:val="none"/>
        </w:rPr>
        <w:t>zinc</w:t>
      </w:r>
      <w:r w:rsidRPr="009B2BF6">
        <w:rPr>
          <w:rFonts w:ascii="Lato" w:eastAsia="Times New Roman" w:hAnsi="Lato" w:cs="Times New Roman"/>
          <w:color w:val="000000"/>
          <w:kern w:val="0"/>
          <w:sz w:val="23"/>
          <w:szCs w:val="23"/>
          <w:lang w:eastAsia="fr-BE"/>
          <w14:ligatures w14:val="none"/>
        </w:rPr>
        <w:t> 0,2% à 2.481 $/t, le </w:t>
      </w:r>
      <w:r w:rsidRPr="009B2BF6">
        <w:rPr>
          <w:rFonts w:ascii="Lato" w:eastAsia="Times New Roman" w:hAnsi="Lato" w:cs="Times New Roman"/>
          <w:color w:val="000000"/>
          <w:kern w:val="0"/>
          <w:sz w:val="23"/>
          <w:szCs w:val="23"/>
          <w:u w:val="single"/>
          <w:lang w:eastAsia="fr-BE"/>
          <w14:ligatures w14:val="none"/>
        </w:rPr>
        <w:t>nickel</w:t>
      </w:r>
      <w:r w:rsidRPr="009B2BF6">
        <w:rPr>
          <w:rFonts w:ascii="Lato" w:eastAsia="Times New Roman" w:hAnsi="Lato" w:cs="Times New Roman"/>
          <w:color w:val="000000"/>
          <w:kern w:val="0"/>
          <w:sz w:val="23"/>
          <w:szCs w:val="23"/>
          <w:lang w:eastAsia="fr-BE"/>
          <w14:ligatures w14:val="none"/>
        </w:rPr>
        <w:t> 1,9% à 21.200 $/t et enfin le </w:t>
      </w:r>
      <w:r w:rsidRPr="009B2BF6">
        <w:rPr>
          <w:rFonts w:ascii="Lato" w:eastAsia="Times New Roman" w:hAnsi="Lato" w:cs="Times New Roman"/>
          <w:color w:val="000000"/>
          <w:kern w:val="0"/>
          <w:sz w:val="23"/>
          <w:szCs w:val="23"/>
          <w:u w:val="single"/>
          <w:lang w:eastAsia="fr-BE"/>
          <w14:ligatures w14:val="none"/>
        </w:rPr>
        <w:t>plomb</w:t>
      </w:r>
      <w:r w:rsidRPr="009B2BF6">
        <w:rPr>
          <w:rFonts w:ascii="Lato" w:eastAsia="Times New Roman" w:hAnsi="Lato" w:cs="Times New Roman"/>
          <w:color w:val="000000"/>
          <w:kern w:val="0"/>
          <w:sz w:val="23"/>
          <w:szCs w:val="23"/>
          <w:lang w:eastAsia="fr-BE"/>
          <w14:ligatures w14:val="none"/>
        </w:rPr>
        <w:t> 0,9% à 2.138 $/t. L’</w:t>
      </w:r>
      <w:r w:rsidRPr="009B2BF6">
        <w:rPr>
          <w:rFonts w:ascii="Lato" w:eastAsia="Times New Roman" w:hAnsi="Lato" w:cs="Times New Roman"/>
          <w:color w:val="000000"/>
          <w:kern w:val="0"/>
          <w:sz w:val="23"/>
          <w:szCs w:val="23"/>
          <w:u w:val="single"/>
          <w:lang w:eastAsia="fr-BE"/>
          <w14:ligatures w14:val="none"/>
        </w:rPr>
        <w:t>or</w:t>
      </w:r>
      <w:r w:rsidRPr="009B2BF6">
        <w:rPr>
          <w:rFonts w:ascii="Lato" w:eastAsia="Times New Roman" w:hAnsi="Lato" w:cs="Times New Roman"/>
          <w:color w:val="000000"/>
          <w:kern w:val="0"/>
          <w:sz w:val="23"/>
          <w:szCs w:val="23"/>
          <w:lang w:eastAsia="fr-BE"/>
          <w14:ligatures w14:val="none"/>
        </w:rPr>
        <w:t> est lui en léger repli, de 0,1%, à 1.932 $/once.</w:t>
      </w:r>
    </w:p>
    <w:p w14:paraId="1103994C"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F6"/>
    <w:rsid w:val="00287462"/>
    <w:rsid w:val="009B2BF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8DA"/>
  <w15:chartTrackingRefBased/>
  <w15:docId w15:val="{E91F89B7-D4A2-4D4C-8E7A-A24CB809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7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1184</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2023-08-07T06:40:00Z</dcterms:created>
  <dcterms:modified xsi:type="dcterms:W3CDTF">2023-08-07T06:41:00Z</dcterms:modified>
</cp:coreProperties>
</file>